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06" w:rsidRDefault="009B1E9F" w:rsidP="009B1E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Language Conflicts in Contemporary Estonia, Latvia, and Ukraine. A Comparative Exploration of Discourses in Post-Soviet Russian-Language Digital Media</w:t>
      </w:r>
    </w:p>
    <w:p w:rsidR="009B1E9F" w:rsidRDefault="009B1E9F" w:rsidP="009B1E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Ksenia Maksimovtsova, Ph.D. </w:t>
      </w:r>
    </w:p>
    <w:p w:rsidR="00CE23C6" w:rsidRPr="009B1E9F" w:rsidRDefault="009B1E9F" w:rsidP="009B1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распада Советского Союза в 1991 году языковая политика в посткоммунистическом регионе является одной из самых обсуждаемых тем в обществе. Как эти вопросы политизируются в современных Эстонии, Латвии и Украине? Данная книга – это кросс-культурное сравнительное количественное и качественное исследование публикаций в популярных электронных медиа, функционирующих на русском языке, в Эстонии, Латвии и Украине в период с 2004 по 2017 г. </w:t>
      </w:r>
      <w:r w:rsidR="00CE23C6">
        <w:rPr>
          <w:rFonts w:ascii="Times New Roman" w:hAnsi="Times New Roman" w:cs="Times New Roman"/>
          <w:sz w:val="24"/>
          <w:szCs w:val="24"/>
        </w:rPr>
        <w:t xml:space="preserve">Эмпирический анализ охватывает ключевые этнополитические события в трех странах, как например, реформа школ национальных меньшинств в Эстонии и Латвии, принятие закона «Об основах государственной языковой политики» в 2012 году в Украине, деятельность языковой инспекции в Эстонии и результаты референдума о русском языке в Латвии. </w:t>
      </w:r>
      <w:r>
        <w:rPr>
          <w:rFonts w:ascii="Times New Roman" w:hAnsi="Times New Roman" w:cs="Times New Roman"/>
          <w:sz w:val="24"/>
          <w:szCs w:val="24"/>
        </w:rPr>
        <w:t xml:space="preserve">Наиболее заметным различием между Украиной и двумя Балтийскими странами является то, что русскоязычные пользователи украинского Интернета </w:t>
      </w:r>
      <w:r w:rsidR="00EF4BAF">
        <w:rPr>
          <w:rFonts w:ascii="Times New Roman" w:hAnsi="Times New Roman" w:cs="Times New Roman"/>
          <w:sz w:val="24"/>
          <w:szCs w:val="24"/>
        </w:rPr>
        <w:t>более активно поддерживаю</w:t>
      </w:r>
      <w:r w:rsidR="00CE23C6">
        <w:rPr>
          <w:rFonts w:ascii="Times New Roman" w:hAnsi="Times New Roman" w:cs="Times New Roman"/>
          <w:sz w:val="24"/>
          <w:szCs w:val="24"/>
        </w:rPr>
        <w:t>т</w:t>
      </w:r>
      <w:r w:rsidR="00EF4BAF">
        <w:rPr>
          <w:rFonts w:ascii="Times New Roman" w:hAnsi="Times New Roman" w:cs="Times New Roman"/>
          <w:sz w:val="24"/>
          <w:szCs w:val="24"/>
        </w:rPr>
        <w:t xml:space="preserve"> идею, что украинский язык, а не русский является объектом дискриминации в национальном украинском государстве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4BAF">
        <w:rPr>
          <w:rFonts w:ascii="Times New Roman" w:hAnsi="Times New Roman" w:cs="Times New Roman"/>
          <w:sz w:val="24"/>
          <w:szCs w:val="24"/>
        </w:rPr>
        <w:t xml:space="preserve">следовательно, государственный </w:t>
      </w:r>
      <w:r>
        <w:rPr>
          <w:rFonts w:ascii="Times New Roman" w:hAnsi="Times New Roman" w:cs="Times New Roman"/>
          <w:sz w:val="24"/>
          <w:szCs w:val="24"/>
        </w:rPr>
        <w:t>язык должен получить дополнительную поддержку от украинского государства.</w:t>
      </w:r>
      <w:r w:rsidR="00EF4B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F4BAF">
        <w:rPr>
          <w:rFonts w:ascii="Times New Roman" w:hAnsi="Times New Roman" w:cs="Times New Roman"/>
          <w:sz w:val="24"/>
          <w:szCs w:val="24"/>
        </w:rPr>
        <w:t>Несмотря на решительные попытки украинских политических элит «украинизировать» публичное пространство, позиция государственного языка до сих пор воспринимается многими пользователями выбранных сайтов как «шаткая» и «нестабильная». Данная тенденция особенно заметна в обсуждениях в период с 2013 по 2017 гг., т.е. после «Революции достоинства», отмеченный многими исследователями как «расцвет» украинского национального самосознания</w:t>
      </w:r>
      <w:r w:rsidR="00CE23C6">
        <w:rPr>
          <w:rFonts w:ascii="Times New Roman" w:hAnsi="Times New Roman" w:cs="Times New Roman"/>
          <w:sz w:val="24"/>
          <w:szCs w:val="24"/>
        </w:rPr>
        <w:t>, где украинский язык стал не только маркером культурной самоидентификации, но и символом украинской политической независимости</w:t>
      </w:r>
      <w:r w:rsidR="00EF4BAF">
        <w:rPr>
          <w:rFonts w:ascii="Times New Roman" w:hAnsi="Times New Roman" w:cs="Times New Roman"/>
          <w:sz w:val="24"/>
          <w:szCs w:val="24"/>
        </w:rPr>
        <w:t xml:space="preserve"> (</w:t>
      </w:r>
      <w:r w:rsidR="00EF4BAF">
        <w:rPr>
          <w:rFonts w:ascii="Times New Roman" w:hAnsi="Times New Roman" w:cs="Times New Roman"/>
          <w:sz w:val="24"/>
          <w:szCs w:val="24"/>
          <w:lang w:val="en-US"/>
        </w:rPr>
        <w:t>Kulyk</w:t>
      </w:r>
      <w:r w:rsidR="00EF4BAF" w:rsidRPr="00EF4BAF">
        <w:rPr>
          <w:rFonts w:ascii="Times New Roman" w:hAnsi="Times New Roman" w:cs="Times New Roman"/>
          <w:sz w:val="24"/>
          <w:szCs w:val="24"/>
        </w:rPr>
        <w:t xml:space="preserve">, 2015, 2018, 2019). </w:t>
      </w:r>
      <w:r>
        <w:rPr>
          <w:rFonts w:ascii="Times New Roman" w:hAnsi="Times New Roman" w:cs="Times New Roman"/>
          <w:sz w:val="24"/>
          <w:szCs w:val="24"/>
        </w:rPr>
        <w:t xml:space="preserve">Напротив, </w:t>
      </w:r>
      <w:r w:rsidR="00EF4BAF">
        <w:rPr>
          <w:rFonts w:ascii="Times New Roman" w:hAnsi="Times New Roman" w:cs="Times New Roman"/>
          <w:sz w:val="24"/>
          <w:szCs w:val="24"/>
        </w:rPr>
        <w:t xml:space="preserve">многие </w:t>
      </w:r>
      <w:r>
        <w:rPr>
          <w:rFonts w:ascii="Times New Roman" w:hAnsi="Times New Roman" w:cs="Times New Roman"/>
          <w:sz w:val="24"/>
          <w:szCs w:val="24"/>
        </w:rPr>
        <w:t xml:space="preserve">русскоязычные пользователи популярных латвийских и </w:t>
      </w:r>
      <w:r w:rsidR="00EF4BAF">
        <w:rPr>
          <w:rFonts w:ascii="Times New Roman" w:hAnsi="Times New Roman" w:cs="Times New Roman"/>
          <w:sz w:val="24"/>
          <w:szCs w:val="24"/>
        </w:rPr>
        <w:t xml:space="preserve">эстонских новостных сайтов и </w:t>
      </w:r>
      <w:r>
        <w:rPr>
          <w:rFonts w:ascii="Times New Roman" w:hAnsi="Times New Roman" w:cs="Times New Roman"/>
          <w:sz w:val="24"/>
          <w:szCs w:val="24"/>
        </w:rPr>
        <w:t xml:space="preserve">блогов </w:t>
      </w:r>
      <w:r w:rsidR="00EF4BAF">
        <w:rPr>
          <w:rFonts w:ascii="Times New Roman" w:hAnsi="Times New Roman" w:cs="Times New Roman"/>
          <w:sz w:val="24"/>
          <w:szCs w:val="24"/>
        </w:rPr>
        <w:t>поддерживают идею введения русского язык</w:t>
      </w:r>
      <w:r w:rsidR="00CE23C6">
        <w:rPr>
          <w:rFonts w:ascii="Times New Roman" w:hAnsi="Times New Roman" w:cs="Times New Roman"/>
          <w:sz w:val="24"/>
          <w:szCs w:val="24"/>
        </w:rPr>
        <w:t xml:space="preserve">а как второго государственного. </w:t>
      </w:r>
      <w:r w:rsidR="00EF4BAF">
        <w:rPr>
          <w:rFonts w:ascii="Times New Roman" w:hAnsi="Times New Roman" w:cs="Times New Roman"/>
          <w:sz w:val="24"/>
          <w:szCs w:val="24"/>
        </w:rPr>
        <w:t>В отличие от русскоязычных пользователей украинского Интернета, все более активно поддерживающих аргумент «одна нация – один язык», пользователи русскоязычного медиа сектора в Эстонии и Латвии склонны воспроизводить образ «жертв» официальн</w:t>
      </w:r>
      <w:r w:rsidR="00CE23C6">
        <w:rPr>
          <w:rFonts w:ascii="Times New Roman" w:hAnsi="Times New Roman" w:cs="Times New Roman"/>
          <w:sz w:val="24"/>
          <w:szCs w:val="24"/>
        </w:rPr>
        <w:t xml:space="preserve">ой политики нациестроительства. Количественный анализ образцов аргументации установил, что аргумент «защиты прав русскоязычных» и «экономический аргумент» («мы имеем те же права, что и титульное большинство, т.к. платим налоги) являются наиболее распространенными среди пользователей эстонских и латвийских новостных сайтов и блогов, функционирующих на русском языке. Тем не менее, результаты моего исследования демонстрируют, что, несмотря на значительные различия в способах политизации и легитимизации определенного курса языковой политики в эстонском, латвийском и украинском дискурсе, украинские дебаты и направление политического развития все больше коррелируют с официальным дискурсом, артикулируемым эстонскими и латвийскими политическими элитами, направленным на гомогенизацию языкового пространства.   </w:t>
      </w:r>
    </w:p>
    <w:p w:rsidR="009B1E9F" w:rsidRPr="009B1E9F" w:rsidRDefault="009B1E9F" w:rsidP="009B1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1E9F" w:rsidRPr="009B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9F"/>
    <w:rsid w:val="00746906"/>
    <w:rsid w:val="009B1E9F"/>
    <w:rsid w:val="00CE23C6"/>
    <w:rsid w:val="00E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68CFC-9B44-4ECE-89E4-F41D3A77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2020-02-14T11:40:00Z</dcterms:created>
  <dcterms:modified xsi:type="dcterms:W3CDTF">2020-02-14T12:11:00Z</dcterms:modified>
</cp:coreProperties>
</file>