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186" w:rsidRDefault="00C11186"/>
    <w:p w:rsidR="00C11186" w:rsidRDefault="00C11186"/>
    <w:p w:rsidR="00C11186" w:rsidRPr="00971F17" w:rsidRDefault="00971F17" w:rsidP="00971F17">
      <w:pPr>
        <w:jc w:val="center"/>
        <w:rPr>
          <w:i/>
          <w:sz w:val="32"/>
          <w:szCs w:val="32"/>
        </w:rPr>
      </w:pPr>
      <w:r w:rsidRPr="00971F17">
        <w:rPr>
          <w:i/>
          <w:sz w:val="32"/>
          <w:szCs w:val="32"/>
        </w:rPr>
        <w:t>Investment funds and hedge-funds: types, structure, strategy</w:t>
      </w:r>
      <w:r>
        <w:rPr>
          <w:i/>
          <w:sz w:val="32"/>
          <w:szCs w:val="32"/>
        </w:rPr>
        <w:t xml:space="preserve"> </w:t>
      </w:r>
      <w:r w:rsidR="00C11186" w:rsidRPr="00971F17">
        <w:rPr>
          <w:i/>
          <w:sz w:val="22"/>
          <w:szCs w:val="22"/>
        </w:rPr>
        <w:t>(5 day</w:t>
      </w:r>
      <w:r w:rsidRPr="00971F17">
        <w:rPr>
          <w:i/>
          <w:sz w:val="22"/>
          <w:szCs w:val="22"/>
        </w:rPr>
        <w:t>s</w:t>
      </w:r>
      <w:r w:rsidR="00C11186" w:rsidRPr="00971F17">
        <w:rPr>
          <w:i/>
          <w:sz w:val="22"/>
          <w:szCs w:val="22"/>
        </w:rPr>
        <w:t xml:space="preserve"> program)</w:t>
      </w:r>
    </w:p>
    <w:tbl>
      <w:tblPr>
        <w:tblW w:w="0" w:type="auto"/>
        <w:tblBorders>
          <w:top w:val="single" w:sz="8" w:space="0" w:color="4F81BD"/>
          <w:bottom w:val="single" w:sz="8" w:space="0" w:color="4F81BD"/>
        </w:tblBorders>
        <w:tblLook w:val="00A0" w:firstRow="1" w:lastRow="0" w:firstColumn="1" w:lastColumn="0" w:noHBand="0" w:noVBand="0"/>
      </w:tblPr>
      <w:tblGrid>
        <w:gridCol w:w="7338"/>
        <w:gridCol w:w="2238"/>
      </w:tblGrid>
      <w:tr w:rsidR="00C11186" w:rsidRPr="007E4BAC" w:rsidTr="00964220">
        <w:tc>
          <w:tcPr>
            <w:tcW w:w="7338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C11186" w:rsidRPr="007E4BAC" w:rsidRDefault="00C11186" w:rsidP="00964220">
            <w:pPr>
              <w:jc w:val="both"/>
              <w:rPr>
                <w:b/>
                <w:bCs/>
                <w:color w:val="003366"/>
                <w:lang w:val="en-GB"/>
              </w:rPr>
            </w:pPr>
          </w:p>
        </w:tc>
        <w:tc>
          <w:tcPr>
            <w:tcW w:w="2238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C11186" w:rsidRDefault="00C11186" w:rsidP="00964220">
            <w:pPr>
              <w:jc w:val="both"/>
              <w:rPr>
                <w:b/>
                <w:bCs/>
                <w:color w:val="003366"/>
                <w:lang w:val="en-GB"/>
              </w:rPr>
            </w:pPr>
          </w:p>
          <w:p w:rsidR="00C11186" w:rsidRDefault="00C11186" w:rsidP="00964220">
            <w:pPr>
              <w:jc w:val="both"/>
              <w:rPr>
                <w:b/>
                <w:bCs/>
                <w:color w:val="003366"/>
                <w:lang w:val="en-GB"/>
              </w:rPr>
            </w:pPr>
          </w:p>
          <w:p w:rsidR="00C11186" w:rsidRPr="007E4BAC" w:rsidRDefault="00C11186" w:rsidP="00964220">
            <w:pPr>
              <w:jc w:val="both"/>
              <w:rPr>
                <w:b/>
                <w:bCs/>
                <w:color w:val="003366"/>
                <w:lang w:val="en-GB"/>
              </w:rPr>
            </w:pPr>
            <w:r w:rsidRPr="007E4BAC">
              <w:rPr>
                <w:b/>
                <w:bCs/>
                <w:color w:val="003366"/>
                <w:sz w:val="22"/>
                <w:szCs w:val="22"/>
                <w:lang w:val="en-GB"/>
              </w:rPr>
              <w:t>Sessions</w:t>
            </w:r>
          </w:p>
        </w:tc>
      </w:tr>
      <w:tr w:rsidR="00C11186" w:rsidRPr="00322731" w:rsidTr="00964220">
        <w:tc>
          <w:tcPr>
            <w:tcW w:w="7338" w:type="dxa"/>
            <w:tcBorders>
              <w:left w:val="nil"/>
              <w:right w:val="nil"/>
            </w:tcBorders>
            <w:shd w:val="clear" w:color="auto" w:fill="D3DFEE"/>
          </w:tcPr>
          <w:p w:rsidR="00C11186" w:rsidRDefault="00C11186" w:rsidP="00964220">
            <w:pPr>
              <w:jc w:val="both"/>
              <w:rPr>
                <w:b/>
                <w:bCs/>
                <w:color w:val="003366"/>
                <w:lang w:val="en-GB"/>
              </w:rPr>
            </w:pPr>
            <w:r w:rsidRPr="00617C5D">
              <w:rPr>
                <w:bCs/>
                <w:color w:val="003366"/>
                <w:sz w:val="22"/>
                <w:szCs w:val="22"/>
                <w:lang w:val="en-GB"/>
              </w:rPr>
              <w:t>Fixed Income markets</w:t>
            </w:r>
            <w:r w:rsidRPr="00617C5D">
              <w:rPr>
                <w:b/>
                <w:bCs/>
                <w:color w:val="003366"/>
                <w:sz w:val="22"/>
                <w:szCs w:val="22"/>
                <w:lang w:val="en-GB"/>
              </w:rPr>
              <w:t xml:space="preserve"> and valuation</w:t>
            </w:r>
          </w:p>
          <w:p w:rsidR="00C11186" w:rsidRDefault="00C11186" w:rsidP="00964220">
            <w:pPr>
              <w:jc w:val="both"/>
              <w:rPr>
                <w:b/>
                <w:bCs/>
                <w:color w:val="003366"/>
                <w:lang w:val="en-GB"/>
              </w:rPr>
            </w:pPr>
          </w:p>
          <w:p w:rsidR="00C11186" w:rsidRPr="007E4BAC" w:rsidRDefault="00C11186" w:rsidP="00405B61">
            <w:pPr>
              <w:numPr>
                <w:ilvl w:val="0"/>
                <w:numId w:val="1"/>
              </w:numPr>
              <w:jc w:val="both"/>
              <w:rPr>
                <w:bCs/>
                <w:color w:val="003366"/>
                <w:lang w:val="en-GB"/>
              </w:rPr>
            </w:pPr>
            <w:r>
              <w:rPr>
                <w:bCs/>
                <w:color w:val="003366"/>
                <w:sz w:val="22"/>
                <w:szCs w:val="22"/>
                <w:lang w:val="en-GB"/>
              </w:rPr>
              <w:t>Introduction to bond valuation</w:t>
            </w:r>
          </w:p>
          <w:p w:rsidR="00C11186" w:rsidRPr="007E4BAC" w:rsidRDefault="00C11186" w:rsidP="00405B61">
            <w:pPr>
              <w:numPr>
                <w:ilvl w:val="0"/>
                <w:numId w:val="1"/>
              </w:numPr>
              <w:jc w:val="both"/>
              <w:rPr>
                <w:bCs/>
                <w:color w:val="003366"/>
                <w:lang w:val="en-GB"/>
              </w:rPr>
            </w:pPr>
            <w:r>
              <w:rPr>
                <w:bCs/>
                <w:color w:val="003366"/>
                <w:sz w:val="22"/>
                <w:szCs w:val="22"/>
                <w:lang w:val="en-GB"/>
              </w:rPr>
              <w:t>Interest rate modelling</w:t>
            </w:r>
          </w:p>
          <w:p w:rsidR="00C11186" w:rsidRPr="007E4BAC" w:rsidRDefault="00C11186" w:rsidP="00405B61">
            <w:pPr>
              <w:numPr>
                <w:ilvl w:val="0"/>
                <w:numId w:val="1"/>
              </w:numPr>
              <w:jc w:val="both"/>
              <w:rPr>
                <w:bCs/>
                <w:color w:val="003366"/>
                <w:lang w:val="en-GB"/>
              </w:rPr>
            </w:pPr>
            <w:r>
              <w:rPr>
                <w:bCs/>
                <w:color w:val="003366"/>
                <w:sz w:val="22"/>
                <w:szCs w:val="22"/>
                <w:lang w:val="en-GB"/>
              </w:rPr>
              <w:t>Fitting the yield curve</w:t>
            </w:r>
          </w:p>
          <w:p w:rsidR="00C11186" w:rsidRPr="007E4BAC" w:rsidRDefault="00C11186" w:rsidP="00405B61">
            <w:pPr>
              <w:numPr>
                <w:ilvl w:val="0"/>
                <w:numId w:val="1"/>
              </w:numPr>
              <w:jc w:val="both"/>
              <w:rPr>
                <w:bCs/>
                <w:color w:val="003366"/>
                <w:lang w:val="en-GB"/>
              </w:rPr>
            </w:pPr>
            <w:r>
              <w:rPr>
                <w:bCs/>
                <w:color w:val="003366"/>
                <w:sz w:val="22"/>
                <w:szCs w:val="22"/>
                <w:lang w:val="en-GB"/>
              </w:rPr>
              <w:t>Swaps</w:t>
            </w:r>
          </w:p>
          <w:p w:rsidR="00C11186" w:rsidRPr="007E4BAC" w:rsidRDefault="00C11186" w:rsidP="00405B61">
            <w:pPr>
              <w:numPr>
                <w:ilvl w:val="0"/>
                <w:numId w:val="1"/>
              </w:numPr>
              <w:jc w:val="both"/>
              <w:rPr>
                <w:bCs/>
                <w:color w:val="003366"/>
                <w:lang w:val="en-GB"/>
              </w:rPr>
            </w:pPr>
            <w:r>
              <w:rPr>
                <w:bCs/>
                <w:color w:val="003366"/>
                <w:sz w:val="22"/>
                <w:szCs w:val="22"/>
                <w:lang w:val="en-GB"/>
              </w:rPr>
              <w:t>Option valuation and Risk</w:t>
            </w:r>
          </w:p>
          <w:p w:rsidR="00C11186" w:rsidRPr="007E4BAC" w:rsidRDefault="00C11186" w:rsidP="00964220">
            <w:pPr>
              <w:jc w:val="both"/>
              <w:rPr>
                <w:bCs/>
                <w:color w:val="003366"/>
                <w:lang w:val="en-GB"/>
              </w:rPr>
            </w:pPr>
          </w:p>
        </w:tc>
        <w:tc>
          <w:tcPr>
            <w:tcW w:w="2238" w:type="dxa"/>
            <w:tcBorders>
              <w:left w:val="nil"/>
              <w:right w:val="nil"/>
            </w:tcBorders>
            <w:shd w:val="clear" w:color="auto" w:fill="D3DFEE"/>
          </w:tcPr>
          <w:p w:rsidR="00C11186" w:rsidRPr="00BB753D" w:rsidRDefault="00CC4884" w:rsidP="00964220">
            <w:pPr>
              <w:jc w:val="both"/>
              <w:rPr>
                <w:bCs/>
                <w:color w:val="003366"/>
              </w:rPr>
            </w:pPr>
            <w:r>
              <w:rPr>
                <w:bCs/>
                <w:color w:val="003366"/>
                <w:lang w:val="en-GB"/>
              </w:rPr>
              <w:t>12</w:t>
            </w:r>
            <w:r w:rsidR="00BB753D">
              <w:rPr>
                <w:bCs/>
                <w:color w:val="003366"/>
                <w:lang w:val="ru-RU"/>
              </w:rPr>
              <w:t xml:space="preserve"> </w:t>
            </w:r>
            <w:r w:rsidR="00BB753D">
              <w:rPr>
                <w:bCs/>
                <w:color w:val="003366"/>
              </w:rPr>
              <w:t>hours</w:t>
            </w:r>
          </w:p>
        </w:tc>
      </w:tr>
      <w:tr w:rsidR="00C11186" w:rsidRPr="00322731" w:rsidTr="00964220">
        <w:tc>
          <w:tcPr>
            <w:tcW w:w="7338" w:type="dxa"/>
          </w:tcPr>
          <w:p w:rsidR="00C11186" w:rsidRPr="007E4BAC" w:rsidRDefault="00C11186" w:rsidP="00964220">
            <w:pPr>
              <w:jc w:val="both"/>
              <w:rPr>
                <w:bCs/>
                <w:color w:val="003366"/>
                <w:lang w:val="en-GB"/>
              </w:rPr>
            </w:pPr>
          </w:p>
          <w:p w:rsidR="00C11186" w:rsidRPr="007E4BAC" w:rsidRDefault="00C11186" w:rsidP="00964220">
            <w:pPr>
              <w:jc w:val="both"/>
              <w:rPr>
                <w:bCs/>
                <w:color w:val="365F91"/>
                <w:u w:val="single"/>
                <w:lang w:val="en-GB"/>
              </w:rPr>
            </w:pPr>
            <w:r w:rsidRPr="007E4BAC">
              <w:rPr>
                <w:bCs/>
                <w:color w:val="003366"/>
                <w:sz w:val="22"/>
                <w:szCs w:val="22"/>
                <w:lang w:val="en-GB"/>
              </w:rPr>
              <w:t>Asset management</w:t>
            </w:r>
          </w:p>
          <w:p w:rsidR="00C11186" w:rsidRPr="007E4BAC" w:rsidRDefault="00C11186" w:rsidP="00405B61">
            <w:pPr>
              <w:numPr>
                <w:ilvl w:val="0"/>
                <w:numId w:val="1"/>
              </w:numPr>
              <w:jc w:val="both"/>
              <w:rPr>
                <w:bCs/>
                <w:color w:val="003366"/>
                <w:lang w:val="en-GB"/>
              </w:rPr>
            </w:pPr>
            <w:r w:rsidRPr="007E4BAC">
              <w:rPr>
                <w:bCs/>
                <w:color w:val="003366"/>
                <w:sz w:val="22"/>
                <w:szCs w:val="22"/>
                <w:lang w:val="en-GB"/>
              </w:rPr>
              <w:t>Standard Portfolio Theory</w:t>
            </w:r>
          </w:p>
          <w:p w:rsidR="00C11186" w:rsidRPr="007E4BAC" w:rsidRDefault="00C11186" w:rsidP="00405B61">
            <w:pPr>
              <w:numPr>
                <w:ilvl w:val="0"/>
                <w:numId w:val="1"/>
              </w:numPr>
              <w:jc w:val="both"/>
              <w:rPr>
                <w:bCs/>
                <w:color w:val="003366"/>
                <w:lang w:val="en-GB"/>
              </w:rPr>
            </w:pPr>
            <w:r w:rsidRPr="007E4BAC">
              <w:rPr>
                <w:bCs/>
                <w:color w:val="003366"/>
                <w:sz w:val="22"/>
                <w:szCs w:val="22"/>
                <w:lang w:val="en-GB"/>
              </w:rPr>
              <w:t>Fund Separation and the Asset Allocation Puzzle</w:t>
            </w:r>
          </w:p>
          <w:p w:rsidR="00C11186" w:rsidRPr="007E4BAC" w:rsidRDefault="00C11186" w:rsidP="00405B61">
            <w:pPr>
              <w:numPr>
                <w:ilvl w:val="0"/>
                <w:numId w:val="1"/>
              </w:numPr>
              <w:jc w:val="both"/>
              <w:rPr>
                <w:bCs/>
                <w:color w:val="003366"/>
                <w:lang w:val="en-GB"/>
              </w:rPr>
            </w:pPr>
            <w:r w:rsidRPr="007E4BAC">
              <w:rPr>
                <w:bCs/>
                <w:color w:val="003366"/>
                <w:sz w:val="22"/>
                <w:szCs w:val="22"/>
                <w:lang w:val="en-GB"/>
              </w:rPr>
              <w:t>Asset Pricing models</w:t>
            </w:r>
          </w:p>
          <w:p w:rsidR="00C11186" w:rsidRPr="007E4BAC" w:rsidRDefault="00C11186" w:rsidP="00405B61">
            <w:pPr>
              <w:numPr>
                <w:ilvl w:val="0"/>
                <w:numId w:val="1"/>
              </w:numPr>
              <w:jc w:val="both"/>
              <w:rPr>
                <w:bCs/>
                <w:color w:val="003366"/>
                <w:lang w:val="en-GB"/>
              </w:rPr>
            </w:pPr>
            <w:r w:rsidRPr="007E4BAC">
              <w:rPr>
                <w:bCs/>
                <w:color w:val="003366"/>
                <w:sz w:val="22"/>
                <w:szCs w:val="22"/>
                <w:lang w:val="en-GB"/>
              </w:rPr>
              <w:t xml:space="preserve">Client classification and the </w:t>
            </w:r>
            <w:proofErr w:type="spellStart"/>
            <w:r w:rsidRPr="007E4BAC">
              <w:rPr>
                <w:bCs/>
                <w:color w:val="003366"/>
                <w:sz w:val="22"/>
                <w:szCs w:val="22"/>
                <w:lang w:val="en-GB"/>
              </w:rPr>
              <w:t>Mifid</w:t>
            </w:r>
            <w:proofErr w:type="spellEnd"/>
            <w:r w:rsidRPr="007E4BAC">
              <w:rPr>
                <w:bCs/>
                <w:color w:val="003366"/>
                <w:sz w:val="22"/>
                <w:szCs w:val="22"/>
                <w:lang w:val="en-GB"/>
              </w:rPr>
              <w:t xml:space="preserve"> Directive</w:t>
            </w:r>
          </w:p>
          <w:p w:rsidR="00C11186" w:rsidRPr="007E4BAC" w:rsidRDefault="00C11186" w:rsidP="00405B61">
            <w:pPr>
              <w:numPr>
                <w:ilvl w:val="0"/>
                <w:numId w:val="1"/>
              </w:numPr>
              <w:jc w:val="both"/>
              <w:rPr>
                <w:bCs/>
                <w:color w:val="003366"/>
                <w:lang w:val="en-GB"/>
              </w:rPr>
            </w:pPr>
            <w:r w:rsidRPr="007E4BAC">
              <w:rPr>
                <w:bCs/>
                <w:color w:val="003366"/>
                <w:sz w:val="22"/>
                <w:szCs w:val="22"/>
                <w:lang w:val="en-GB"/>
              </w:rPr>
              <w:t>Strategic and Tactical Asset Allocation</w:t>
            </w:r>
          </w:p>
          <w:p w:rsidR="00C11186" w:rsidRPr="007E4BAC" w:rsidRDefault="00C11186" w:rsidP="00405B61">
            <w:pPr>
              <w:numPr>
                <w:ilvl w:val="0"/>
                <w:numId w:val="1"/>
              </w:numPr>
              <w:jc w:val="both"/>
              <w:rPr>
                <w:bCs/>
                <w:color w:val="003366"/>
                <w:lang w:val="en-GB"/>
              </w:rPr>
            </w:pPr>
            <w:r w:rsidRPr="007E4BAC">
              <w:rPr>
                <w:bCs/>
                <w:color w:val="003366"/>
                <w:sz w:val="22"/>
                <w:szCs w:val="22"/>
                <w:lang w:val="en-GB"/>
              </w:rPr>
              <w:t xml:space="preserve">Issues in performance measurement </w:t>
            </w:r>
          </w:p>
        </w:tc>
        <w:tc>
          <w:tcPr>
            <w:tcW w:w="2238" w:type="dxa"/>
          </w:tcPr>
          <w:p w:rsidR="00C11186" w:rsidRDefault="00C11186" w:rsidP="00964220">
            <w:pPr>
              <w:jc w:val="both"/>
              <w:rPr>
                <w:bCs/>
                <w:color w:val="003366"/>
                <w:lang w:val="en-GB"/>
              </w:rPr>
            </w:pPr>
          </w:p>
          <w:p w:rsidR="00BB753D" w:rsidRPr="007E4BAC" w:rsidRDefault="00BB753D" w:rsidP="00964220">
            <w:pPr>
              <w:jc w:val="both"/>
              <w:rPr>
                <w:bCs/>
                <w:color w:val="003366"/>
                <w:lang w:val="en-GB"/>
              </w:rPr>
            </w:pPr>
            <w:r>
              <w:rPr>
                <w:bCs/>
                <w:color w:val="003366"/>
                <w:lang w:val="en-GB"/>
              </w:rPr>
              <w:t>12 hours</w:t>
            </w:r>
          </w:p>
        </w:tc>
      </w:tr>
      <w:tr w:rsidR="00C11186" w:rsidRPr="00322731" w:rsidTr="00964220">
        <w:tc>
          <w:tcPr>
            <w:tcW w:w="7338" w:type="dxa"/>
            <w:tcBorders>
              <w:left w:val="nil"/>
              <w:right w:val="nil"/>
            </w:tcBorders>
            <w:shd w:val="clear" w:color="auto" w:fill="D3DFEE"/>
          </w:tcPr>
          <w:p w:rsidR="00C11186" w:rsidRPr="007E4BAC" w:rsidRDefault="00C11186" w:rsidP="00964220">
            <w:pPr>
              <w:jc w:val="both"/>
              <w:rPr>
                <w:bCs/>
                <w:color w:val="003366"/>
                <w:lang w:val="en-GB"/>
              </w:rPr>
            </w:pPr>
          </w:p>
          <w:p w:rsidR="00C11186" w:rsidRPr="007E4BAC" w:rsidRDefault="00C11186" w:rsidP="00964220">
            <w:pPr>
              <w:jc w:val="both"/>
              <w:rPr>
                <w:bCs/>
                <w:color w:val="365F91"/>
                <w:u w:val="single"/>
                <w:lang w:val="en-GB"/>
              </w:rPr>
            </w:pPr>
            <w:r w:rsidRPr="007E4BAC">
              <w:rPr>
                <w:bCs/>
                <w:color w:val="003366"/>
                <w:sz w:val="22"/>
                <w:szCs w:val="22"/>
                <w:lang w:val="en-GB"/>
              </w:rPr>
              <w:t>Credit derivatives and Structured Finance</w:t>
            </w:r>
          </w:p>
          <w:p w:rsidR="00CC4884" w:rsidRPr="00FB1057" w:rsidRDefault="00C11186" w:rsidP="00F0047C">
            <w:pPr>
              <w:numPr>
                <w:ilvl w:val="0"/>
                <w:numId w:val="1"/>
              </w:numPr>
              <w:jc w:val="both"/>
              <w:rPr>
                <w:bCs/>
                <w:color w:val="003366"/>
                <w:lang w:val="en-GB"/>
              </w:rPr>
            </w:pPr>
            <w:r w:rsidRPr="00CC4884">
              <w:rPr>
                <w:bCs/>
                <w:color w:val="003366"/>
                <w:sz w:val="22"/>
                <w:szCs w:val="22"/>
                <w:lang w:val="en-GB"/>
              </w:rPr>
              <w:t>Introduction to Structured Finance</w:t>
            </w:r>
          </w:p>
          <w:p w:rsidR="00FB1057" w:rsidRPr="00FB1057" w:rsidRDefault="00FB1057" w:rsidP="00F0047C">
            <w:pPr>
              <w:numPr>
                <w:ilvl w:val="0"/>
                <w:numId w:val="1"/>
              </w:numPr>
              <w:jc w:val="both"/>
              <w:rPr>
                <w:bCs/>
                <w:color w:val="003366"/>
                <w:lang w:val="en-GB"/>
              </w:rPr>
            </w:pPr>
            <w:r>
              <w:rPr>
                <w:bCs/>
                <w:color w:val="003366"/>
                <w:sz w:val="22"/>
                <w:szCs w:val="22"/>
                <w:lang w:val="en-GB"/>
              </w:rPr>
              <w:t xml:space="preserve">Different kinds of credit derivatives </w:t>
            </w:r>
          </w:p>
          <w:p w:rsidR="00FB1057" w:rsidRDefault="00FB1057" w:rsidP="00FB1057">
            <w:pPr>
              <w:pStyle w:val="a3"/>
              <w:numPr>
                <w:ilvl w:val="0"/>
                <w:numId w:val="2"/>
              </w:numPr>
              <w:jc w:val="both"/>
              <w:rPr>
                <w:bCs/>
                <w:color w:val="003366"/>
                <w:lang w:val="en-GB"/>
              </w:rPr>
            </w:pPr>
            <w:r>
              <w:rPr>
                <w:bCs/>
                <w:color w:val="003366"/>
                <w:lang w:val="en-GB"/>
              </w:rPr>
              <w:t>Securitization and Credit Risk Transfer process</w:t>
            </w:r>
          </w:p>
          <w:p w:rsidR="00FB1057" w:rsidRDefault="00FB1057" w:rsidP="00FB1057">
            <w:pPr>
              <w:pStyle w:val="a3"/>
              <w:numPr>
                <w:ilvl w:val="0"/>
                <w:numId w:val="2"/>
              </w:numPr>
              <w:jc w:val="both"/>
              <w:rPr>
                <w:bCs/>
                <w:color w:val="003366"/>
                <w:lang w:val="en-GB"/>
              </w:rPr>
            </w:pPr>
            <w:r>
              <w:rPr>
                <w:bCs/>
                <w:color w:val="003366"/>
                <w:lang w:val="en-GB"/>
              </w:rPr>
              <w:t>Interest rate swaps used as a hedging tool</w:t>
            </w:r>
          </w:p>
          <w:p w:rsidR="00FB1057" w:rsidRDefault="00FB1057" w:rsidP="00FB1057">
            <w:pPr>
              <w:pStyle w:val="a3"/>
              <w:numPr>
                <w:ilvl w:val="0"/>
                <w:numId w:val="2"/>
              </w:numPr>
              <w:jc w:val="both"/>
              <w:rPr>
                <w:bCs/>
                <w:color w:val="003366"/>
                <w:lang w:val="en-GB"/>
              </w:rPr>
            </w:pPr>
            <w:r>
              <w:rPr>
                <w:bCs/>
                <w:color w:val="003366"/>
                <w:lang w:val="en-GB"/>
              </w:rPr>
              <w:t>Total Return swaps in Investment Management</w:t>
            </w:r>
          </w:p>
          <w:p w:rsidR="00FB1057" w:rsidRDefault="00FB1057" w:rsidP="00FB1057">
            <w:pPr>
              <w:pStyle w:val="a3"/>
              <w:numPr>
                <w:ilvl w:val="0"/>
                <w:numId w:val="2"/>
              </w:numPr>
              <w:jc w:val="both"/>
              <w:rPr>
                <w:bCs/>
                <w:color w:val="003366"/>
                <w:lang w:val="en-GB"/>
              </w:rPr>
            </w:pPr>
            <w:r>
              <w:rPr>
                <w:bCs/>
                <w:color w:val="003366"/>
                <w:lang w:val="en-GB"/>
              </w:rPr>
              <w:t xml:space="preserve">Credit Default Swaps </w:t>
            </w:r>
          </w:p>
          <w:p w:rsidR="00FB1057" w:rsidRPr="00FB1057" w:rsidRDefault="00FB1057" w:rsidP="00FB1057">
            <w:pPr>
              <w:pStyle w:val="a3"/>
              <w:numPr>
                <w:ilvl w:val="0"/>
                <w:numId w:val="2"/>
              </w:numPr>
              <w:jc w:val="both"/>
              <w:rPr>
                <w:bCs/>
                <w:color w:val="003366"/>
                <w:lang w:val="en-GB"/>
              </w:rPr>
            </w:pPr>
            <w:r>
              <w:rPr>
                <w:bCs/>
                <w:color w:val="003366"/>
                <w:lang w:val="en-GB"/>
              </w:rPr>
              <w:t xml:space="preserve">Correlation Products (CDO, First to Default…) </w:t>
            </w:r>
          </w:p>
          <w:p w:rsidR="00C11186" w:rsidRPr="00D24AA8" w:rsidRDefault="00D24AA8" w:rsidP="00405B61">
            <w:pPr>
              <w:numPr>
                <w:ilvl w:val="0"/>
                <w:numId w:val="1"/>
              </w:numPr>
              <w:jc w:val="both"/>
              <w:rPr>
                <w:bCs/>
                <w:color w:val="003366"/>
                <w:lang w:val="en-GB"/>
              </w:rPr>
            </w:pPr>
            <w:r>
              <w:rPr>
                <w:bCs/>
                <w:color w:val="003366"/>
                <w:sz w:val="22"/>
                <w:szCs w:val="22"/>
                <w:lang w:val="en-GB"/>
              </w:rPr>
              <w:t xml:space="preserve">Basic </w:t>
            </w:r>
            <w:r w:rsidR="00C11186" w:rsidRPr="007E4BAC">
              <w:rPr>
                <w:bCs/>
                <w:color w:val="003366"/>
                <w:sz w:val="22"/>
                <w:szCs w:val="22"/>
                <w:lang w:val="en-GB"/>
              </w:rPr>
              <w:t>Models of credit default</w:t>
            </w:r>
          </w:p>
          <w:p w:rsidR="00D24AA8" w:rsidRPr="00FB1057" w:rsidRDefault="00D24AA8" w:rsidP="00405B61">
            <w:pPr>
              <w:numPr>
                <w:ilvl w:val="0"/>
                <w:numId w:val="1"/>
              </w:numPr>
              <w:jc w:val="both"/>
              <w:rPr>
                <w:bCs/>
                <w:color w:val="003366"/>
                <w:lang w:val="en-GB"/>
              </w:rPr>
            </w:pPr>
            <w:r>
              <w:rPr>
                <w:bCs/>
                <w:color w:val="003366"/>
                <w:sz w:val="22"/>
                <w:szCs w:val="22"/>
                <w:lang w:val="en-GB"/>
              </w:rPr>
              <w:t>Introduction to Stochastic Calculus</w:t>
            </w:r>
          </w:p>
          <w:p w:rsidR="00D24AA8" w:rsidRDefault="00D24AA8" w:rsidP="00D24AA8">
            <w:pPr>
              <w:numPr>
                <w:ilvl w:val="0"/>
                <w:numId w:val="1"/>
              </w:numPr>
              <w:jc w:val="both"/>
              <w:rPr>
                <w:bCs/>
                <w:color w:val="003366"/>
                <w:lang w:val="en-GB"/>
              </w:rPr>
            </w:pPr>
            <w:r>
              <w:rPr>
                <w:bCs/>
                <w:color w:val="003366"/>
                <w:lang w:val="en-GB"/>
              </w:rPr>
              <w:t xml:space="preserve">Modelling Asset Value dynamics with the standard Brownian motion </w:t>
            </w:r>
          </w:p>
          <w:p w:rsidR="00D24AA8" w:rsidRDefault="00D24AA8" w:rsidP="00D24AA8">
            <w:pPr>
              <w:numPr>
                <w:ilvl w:val="0"/>
                <w:numId w:val="1"/>
              </w:numPr>
              <w:jc w:val="both"/>
              <w:rPr>
                <w:bCs/>
                <w:color w:val="003366"/>
                <w:lang w:val="en-GB"/>
              </w:rPr>
            </w:pPr>
            <w:r>
              <w:rPr>
                <w:bCs/>
                <w:color w:val="003366"/>
                <w:lang w:val="en-GB"/>
              </w:rPr>
              <w:t xml:space="preserve">Modelling Asset Value dynamics with jumps </w:t>
            </w:r>
          </w:p>
          <w:p w:rsidR="00FB1057" w:rsidRPr="00FB1057" w:rsidRDefault="00D24AA8" w:rsidP="00405B61">
            <w:pPr>
              <w:numPr>
                <w:ilvl w:val="0"/>
                <w:numId w:val="1"/>
              </w:numPr>
              <w:jc w:val="both"/>
              <w:rPr>
                <w:bCs/>
                <w:color w:val="003366"/>
                <w:lang w:val="en-GB"/>
              </w:rPr>
            </w:pPr>
            <w:r>
              <w:rPr>
                <w:bCs/>
                <w:color w:val="003366"/>
                <w:lang w:val="en-GB"/>
              </w:rPr>
              <w:t>Reduced form models versus Structured Models</w:t>
            </w:r>
          </w:p>
          <w:p w:rsidR="00FB1057" w:rsidRPr="00FB1057" w:rsidRDefault="00D24AA8" w:rsidP="00FB1057">
            <w:pPr>
              <w:pStyle w:val="a3"/>
              <w:numPr>
                <w:ilvl w:val="0"/>
                <w:numId w:val="1"/>
              </w:numPr>
              <w:jc w:val="both"/>
              <w:rPr>
                <w:bCs/>
                <w:color w:val="003366"/>
                <w:lang w:val="en-GB"/>
              </w:rPr>
            </w:pPr>
            <w:r>
              <w:rPr>
                <w:bCs/>
                <w:color w:val="003366"/>
                <w:lang w:val="en-GB"/>
              </w:rPr>
              <w:t>Calibration of the models from market spreads</w:t>
            </w:r>
          </w:p>
          <w:p w:rsidR="00C11186" w:rsidRPr="007E4BAC" w:rsidRDefault="00C11186" w:rsidP="00405B61">
            <w:pPr>
              <w:numPr>
                <w:ilvl w:val="0"/>
                <w:numId w:val="1"/>
              </w:numPr>
              <w:jc w:val="both"/>
              <w:rPr>
                <w:bCs/>
                <w:color w:val="003366"/>
                <w:lang w:val="en-GB"/>
              </w:rPr>
            </w:pPr>
            <w:r w:rsidRPr="007E4BAC">
              <w:rPr>
                <w:bCs/>
                <w:color w:val="003366"/>
                <w:sz w:val="22"/>
                <w:szCs w:val="22"/>
                <w:lang w:val="en-GB"/>
              </w:rPr>
              <w:t>Calibration of valuation models</w:t>
            </w:r>
          </w:p>
          <w:p w:rsidR="00C11186" w:rsidRPr="007E4BAC" w:rsidRDefault="00C11186" w:rsidP="00405B61">
            <w:pPr>
              <w:numPr>
                <w:ilvl w:val="0"/>
                <w:numId w:val="1"/>
              </w:numPr>
              <w:jc w:val="both"/>
              <w:rPr>
                <w:bCs/>
                <w:color w:val="003366"/>
                <w:lang w:val="en-GB"/>
              </w:rPr>
            </w:pPr>
            <w:r w:rsidRPr="007E4BAC">
              <w:rPr>
                <w:bCs/>
                <w:color w:val="003366"/>
                <w:sz w:val="22"/>
                <w:szCs w:val="22"/>
                <w:lang w:val="en-GB"/>
              </w:rPr>
              <w:t>New approaches in modelling default correlation</w:t>
            </w:r>
          </w:p>
          <w:p w:rsidR="00C11186" w:rsidRPr="007E4BAC" w:rsidRDefault="00D24AA8" w:rsidP="00405B61">
            <w:pPr>
              <w:numPr>
                <w:ilvl w:val="0"/>
                <w:numId w:val="1"/>
              </w:numPr>
              <w:jc w:val="both"/>
              <w:rPr>
                <w:bCs/>
                <w:color w:val="003366"/>
                <w:lang w:val="en-GB"/>
              </w:rPr>
            </w:pPr>
            <w:r>
              <w:rPr>
                <w:bCs/>
                <w:color w:val="003366"/>
                <w:sz w:val="22"/>
                <w:szCs w:val="22"/>
                <w:lang w:val="en-GB"/>
              </w:rPr>
              <w:t>C</w:t>
            </w:r>
            <w:r w:rsidR="00C11186" w:rsidRPr="007E4BAC">
              <w:rPr>
                <w:bCs/>
                <w:color w:val="003366"/>
                <w:sz w:val="22"/>
                <w:szCs w:val="22"/>
                <w:lang w:val="en-GB"/>
              </w:rPr>
              <w:t xml:space="preserve">redit product risk management issues </w:t>
            </w:r>
          </w:p>
          <w:p w:rsidR="00C11186" w:rsidRPr="007E4BAC" w:rsidRDefault="00C11186" w:rsidP="00964220">
            <w:pPr>
              <w:jc w:val="both"/>
              <w:rPr>
                <w:bCs/>
                <w:color w:val="003366"/>
                <w:lang w:val="en-GB"/>
              </w:rPr>
            </w:pPr>
          </w:p>
        </w:tc>
        <w:tc>
          <w:tcPr>
            <w:tcW w:w="2238" w:type="dxa"/>
            <w:tcBorders>
              <w:left w:val="nil"/>
              <w:right w:val="nil"/>
            </w:tcBorders>
            <w:shd w:val="clear" w:color="auto" w:fill="D3DFEE"/>
          </w:tcPr>
          <w:p w:rsidR="00C11186" w:rsidRPr="007E4BAC" w:rsidRDefault="00C11186" w:rsidP="00964220">
            <w:pPr>
              <w:jc w:val="both"/>
              <w:rPr>
                <w:bCs/>
                <w:color w:val="003366"/>
                <w:lang w:val="en-GB"/>
              </w:rPr>
            </w:pPr>
          </w:p>
          <w:p w:rsidR="00C11186" w:rsidRPr="007E4BAC" w:rsidRDefault="00BB753D" w:rsidP="00964220">
            <w:pPr>
              <w:jc w:val="both"/>
              <w:rPr>
                <w:bCs/>
                <w:color w:val="003366"/>
                <w:lang w:val="en-GB"/>
              </w:rPr>
            </w:pPr>
            <w:r>
              <w:rPr>
                <w:bCs/>
                <w:color w:val="003366"/>
                <w:lang w:val="en-GB"/>
              </w:rPr>
              <w:t>16 hours</w:t>
            </w:r>
          </w:p>
        </w:tc>
      </w:tr>
      <w:tr w:rsidR="00C11186" w:rsidRPr="00322731" w:rsidTr="00964220">
        <w:tc>
          <w:tcPr>
            <w:tcW w:w="7338" w:type="dxa"/>
          </w:tcPr>
          <w:p w:rsidR="00C11186" w:rsidRPr="007E4BAC" w:rsidRDefault="00C11186" w:rsidP="00964220">
            <w:pPr>
              <w:jc w:val="both"/>
              <w:rPr>
                <w:bCs/>
                <w:color w:val="003366"/>
                <w:lang w:val="en-GB"/>
              </w:rPr>
            </w:pPr>
          </w:p>
          <w:p w:rsidR="00C11186" w:rsidRPr="007E4BAC" w:rsidRDefault="00D3735D" w:rsidP="00964220">
            <w:pPr>
              <w:jc w:val="both"/>
              <w:rPr>
                <w:bCs/>
                <w:color w:val="003366"/>
                <w:lang w:val="en-GB"/>
              </w:rPr>
            </w:pPr>
            <w:r>
              <w:rPr>
                <w:bCs/>
                <w:color w:val="003366"/>
                <w:sz w:val="22"/>
                <w:szCs w:val="22"/>
                <w:lang w:val="en-GB"/>
              </w:rPr>
              <w:t xml:space="preserve">Plain-Vanilla </w:t>
            </w:r>
            <w:r w:rsidR="00C11186" w:rsidRPr="007E4BAC">
              <w:rPr>
                <w:bCs/>
                <w:color w:val="003366"/>
                <w:sz w:val="22"/>
                <w:szCs w:val="22"/>
                <w:lang w:val="en-GB"/>
              </w:rPr>
              <w:t>Investment Funds: Regulation and Business Models</w:t>
            </w:r>
          </w:p>
          <w:p w:rsidR="00C11186" w:rsidRPr="00D3735D" w:rsidRDefault="00C11186" w:rsidP="00405B61">
            <w:pPr>
              <w:numPr>
                <w:ilvl w:val="0"/>
                <w:numId w:val="1"/>
              </w:numPr>
              <w:jc w:val="both"/>
              <w:rPr>
                <w:bCs/>
                <w:color w:val="003366"/>
                <w:lang w:val="en-GB"/>
              </w:rPr>
            </w:pPr>
            <w:r w:rsidRPr="007E4BAC">
              <w:rPr>
                <w:bCs/>
                <w:color w:val="003366"/>
                <w:sz w:val="22"/>
                <w:szCs w:val="22"/>
                <w:lang w:val="en-GB"/>
              </w:rPr>
              <w:t>Different families of Funds</w:t>
            </w:r>
            <w:r w:rsidR="00D3735D">
              <w:rPr>
                <w:bCs/>
                <w:color w:val="003366"/>
                <w:sz w:val="22"/>
                <w:szCs w:val="22"/>
                <w:lang w:val="en-GB"/>
              </w:rPr>
              <w:t xml:space="preserve"> </w:t>
            </w:r>
          </w:p>
          <w:p w:rsidR="00D3735D" w:rsidRPr="007E4BAC" w:rsidRDefault="00D3735D" w:rsidP="00405B61">
            <w:pPr>
              <w:numPr>
                <w:ilvl w:val="0"/>
                <w:numId w:val="1"/>
              </w:numPr>
              <w:jc w:val="both"/>
              <w:rPr>
                <w:bCs/>
                <w:color w:val="003366"/>
                <w:lang w:val="en-GB"/>
              </w:rPr>
            </w:pPr>
            <w:r>
              <w:rPr>
                <w:bCs/>
                <w:color w:val="003366"/>
                <w:sz w:val="22"/>
                <w:szCs w:val="22"/>
                <w:lang w:val="en-GB"/>
              </w:rPr>
              <w:t>Different funding methods</w:t>
            </w:r>
          </w:p>
          <w:p w:rsidR="00C11186" w:rsidRPr="00D3735D" w:rsidRDefault="00D3735D" w:rsidP="00405B61">
            <w:pPr>
              <w:numPr>
                <w:ilvl w:val="0"/>
                <w:numId w:val="1"/>
              </w:numPr>
              <w:jc w:val="both"/>
              <w:rPr>
                <w:bCs/>
                <w:color w:val="003366"/>
                <w:lang w:val="en-GB"/>
              </w:rPr>
            </w:pPr>
            <w:r>
              <w:rPr>
                <w:bCs/>
                <w:color w:val="003366"/>
                <w:sz w:val="22"/>
                <w:szCs w:val="22"/>
                <w:lang w:val="en-GB"/>
              </w:rPr>
              <w:t xml:space="preserve">Analysis of the </w:t>
            </w:r>
            <w:r w:rsidR="00C11186" w:rsidRPr="007E4BAC">
              <w:rPr>
                <w:bCs/>
                <w:color w:val="003366"/>
                <w:sz w:val="22"/>
                <w:szCs w:val="22"/>
                <w:lang w:val="en-GB"/>
              </w:rPr>
              <w:t xml:space="preserve">UCITS </w:t>
            </w:r>
            <w:r>
              <w:rPr>
                <w:bCs/>
                <w:color w:val="003366"/>
                <w:sz w:val="22"/>
                <w:szCs w:val="22"/>
                <w:lang w:val="en-GB"/>
              </w:rPr>
              <w:t xml:space="preserve">III </w:t>
            </w:r>
            <w:r w:rsidR="00C11186" w:rsidRPr="007E4BAC">
              <w:rPr>
                <w:bCs/>
                <w:color w:val="003366"/>
                <w:sz w:val="22"/>
                <w:szCs w:val="22"/>
                <w:lang w:val="en-GB"/>
              </w:rPr>
              <w:t>directive</w:t>
            </w:r>
          </w:p>
          <w:p w:rsidR="00D3735D" w:rsidRDefault="00D3735D" w:rsidP="00405B61">
            <w:pPr>
              <w:numPr>
                <w:ilvl w:val="0"/>
                <w:numId w:val="1"/>
              </w:numPr>
              <w:jc w:val="both"/>
              <w:rPr>
                <w:bCs/>
                <w:color w:val="003366"/>
                <w:lang w:val="en-GB"/>
              </w:rPr>
            </w:pPr>
            <w:r>
              <w:rPr>
                <w:bCs/>
                <w:color w:val="003366"/>
                <w:lang w:val="en-GB"/>
              </w:rPr>
              <w:lastRenderedPageBreak/>
              <w:t>Analysis of the UCITS IV Directive</w:t>
            </w:r>
          </w:p>
          <w:p w:rsidR="00D3735D" w:rsidRDefault="00D3735D" w:rsidP="00405B61">
            <w:pPr>
              <w:numPr>
                <w:ilvl w:val="0"/>
                <w:numId w:val="1"/>
              </w:numPr>
              <w:jc w:val="both"/>
              <w:rPr>
                <w:bCs/>
                <w:color w:val="003366"/>
                <w:lang w:val="en-GB"/>
              </w:rPr>
            </w:pPr>
            <w:r>
              <w:rPr>
                <w:bCs/>
                <w:color w:val="003366"/>
                <w:lang w:val="en-GB"/>
              </w:rPr>
              <w:t>Analysis of the UCITS V Directive</w:t>
            </w:r>
          </w:p>
          <w:p w:rsidR="00D3735D" w:rsidRPr="007E4BAC" w:rsidRDefault="00D3735D" w:rsidP="00405B61">
            <w:pPr>
              <w:numPr>
                <w:ilvl w:val="0"/>
                <w:numId w:val="1"/>
              </w:numPr>
              <w:jc w:val="both"/>
              <w:rPr>
                <w:bCs/>
                <w:color w:val="003366"/>
                <w:lang w:val="en-GB"/>
              </w:rPr>
            </w:pPr>
            <w:r>
              <w:rPr>
                <w:bCs/>
                <w:color w:val="003366"/>
                <w:lang w:val="en-GB"/>
              </w:rPr>
              <w:t xml:space="preserve">The MIFID Directives and their impact on the Fund Industry  </w:t>
            </w:r>
          </w:p>
          <w:p w:rsidR="00C11186" w:rsidRPr="007E4BAC" w:rsidRDefault="00C11186" w:rsidP="00405B61">
            <w:pPr>
              <w:numPr>
                <w:ilvl w:val="0"/>
                <w:numId w:val="1"/>
              </w:numPr>
              <w:jc w:val="both"/>
              <w:rPr>
                <w:bCs/>
                <w:color w:val="003366"/>
                <w:lang w:val="en-GB"/>
              </w:rPr>
            </w:pPr>
            <w:r w:rsidRPr="007E4BAC">
              <w:rPr>
                <w:bCs/>
                <w:color w:val="003366"/>
                <w:sz w:val="22"/>
                <w:szCs w:val="22"/>
                <w:lang w:val="en-GB"/>
              </w:rPr>
              <w:t>The service providers of the Fund Industry</w:t>
            </w:r>
          </w:p>
          <w:p w:rsidR="00C11186" w:rsidRPr="007E4BAC" w:rsidRDefault="00C11186" w:rsidP="00405B61">
            <w:pPr>
              <w:numPr>
                <w:ilvl w:val="0"/>
                <w:numId w:val="1"/>
              </w:numPr>
              <w:jc w:val="both"/>
              <w:rPr>
                <w:bCs/>
                <w:color w:val="003366"/>
                <w:lang w:val="en-GB"/>
              </w:rPr>
            </w:pPr>
            <w:r w:rsidRPr="007E4BAC">
              <w:rPr>
                <w:bCs/>
                <w:color w:val="003366"/>
                <w:sz w:val="22"/>
                <w:szCs w:val="22"/>
                <w:lang w:val="en-GB"/>
              </w:rPr>
              <w:t>Fees and cost structures</w:t>
            </w:r>
            <w:r w:rsidR="00D3735D">
              <w:rPr>
                <w:bCs/>
                <w:color w:val="003366"/>
                <w:sz w:val="22"/>
                <w:szCs w:val="22"/>
                <w:lang w:val="en-GB"/>
              </w:rPr>
              <w:t xml:space="preserve"> across Europe</w:t>
            </w:r>
          </w:p>
          <w:p w:rsidR="00C11186" w:rsidRPr="00D3735D" w:rsidRDefault="00C11186" w:rsidP="00405B61">
            <w:pPr>
              <w:numPr>
                <w:ilvl w:val="0"/>
                <w:numId w:val="1"/>
              </w:numPr>
              <w:jc w:val="both"/>
              <w:rPr>
                <w:bCs/>
                <w:color w:val="003366"/>
                <w:lang w:val="en-GB"/>
              </w:rPr>
            </w:pPr>
            <w:r w:rsidRPr="007E4BAC">
              <w:rPr>
                <w:bCs/>
                <w:color w:val="003366"/>
                <w:sz w:val="22"/>
                <w:szCs w:val="22"/>
                <w:lang w:val="en-GB"/>
              </w:rPr>
              <w:t>Business Models of the Asset Management Industry</w:t>
            </w:r>
          </w:p>
          <w:p w:rsidR="00D3735D" w:rsidRPr="007E4BAC" w:rsidRDefault="00D3735D" w:rsidP="00405B61">
            <w:pPr>
              <w:numPr>
                <w:ilvl w:val="0"/>
                <w:numId w:val="1"/>
              </w:numPr>
              <w:jc w:val="both"/>
              <w:rPr>
                <w:bCs/>
                <w:color w:val="003366"/>
                <w:lang w:val="en-GB"/>
              </w:rPr>
            </w:pPr>
            <w:r>
              <w:rPr>
                <w:bCs/>
                <w:color w:val="003366"/>
                <w:sz w:val="22"/>
                <w:szCs w:val="22"/>
                <w:lang w:val="en-GB"/>
              </w:rPr>
              <w:t>Performance measurement of standard funds</w:t>
            </w:r>
          </w:p>
          <w:p w:rsidR="00C11186" w:rsidRPr="00D3735D" w:rsidRDefault="00D3735D" w:rsidP="00405B61">
            <w:pPr>
              <w:numPr>
                <w:ilvl w:val="0"/>
                <w:numId w:val="1"/>
              </w:numPr>
              <w:jc w:val="both"/>
              <w:rPr>
                <w:bCs/>
                <w:color w:val="003366"/>
                <w:lang w:val="en-GB"/>
              </w:rPr>
            </w:pPr>
            <w:r>
              <w:rPr>
                <w:bCs/>
                <w:color w:val="003366"/>
                <w:sz w:val="22"/>
                <w:szCs w:val="22"/>
                <w:lang w:val="en-GB"/>
              </w:rPr>
              <w:t>The relationship between fees and performance</w:t>
            </w:r>
          </w:p>
          <w:p w:rsidR="00D3735D" w:rsidRPr="00D3735D" w:rsidRDefault="00D3735D" w:rsidP="00D3735D">
            <w:pPr>
              <w:numPr>
                <w:ilvl w:val="0"/>
                <w:numId w:val="1"/>
              </w:numPr>
              <w:jc w:val="both"/>
              <w:rPr>
                <w:bCs/>
                <w:color w:val="003366"/>
                <w:lang w:val="en-GB"/>
              </w:rPr>
            </w:pPr>
            <w:r>
              <w:rPr>
                <w:bCs/>
                <w:color w:val="003366"/>
                <w:sz w:val="22"/>
                <w:szCs w:val="22"/>
                <w:lang w:val="en-GB"/>
              </w:rPr>
              <w:t>Risk Management for Asset Managers</w:t>
            </w:r>
          </w:p>
          <w:p w:rsidR="00D3735D" w:rsidRPr="00BC1C30" w:rsidRDefault="00BC1C30" w:rsidP="00BC1C30">
            <w:pPr>
              <w:numPr>
                <w:ilvl w:val="0"/>
                <w:numId w:val="1"/>
              </w:numPr>
              <w:jc w:val="both"/>
              <w:rPr>
                <w:bCs/>
                <w:color w:val="003366"/>
                <w:lang w:val="en-GB"/>
              </w:rPr>
            </w:pPr>
            <w:r>
              <w:rPr>
                <w:bCs/>
                <w:color w:val="003366"/>
                <w:sz w:val="22"/>
                <w:szCs w:val="22"/>
                <w:lang w:val="en-GB"/>
              </w:rPr>
              <w:t>Due Diligence on the Benchmark of the Fund</w:t>
            </w:r>
          </w:p>
          <w:p w:rsidR="00BC1C30" w:rsidRPr="00BC1C30" w:rsidRDefault="00BC1C30" w:rsidP="00BC1C30">
            <w:pPr>
              <w:numPr>
                <w:ilvl w:val="0"/>
                <w:numId w:val="1"/>
              </w:numPr>
              <w:jc w:val="both"/>
              <w:rPr>
                <w:bCs/>
                <w:color w:val="003366"/>
                <w:lang w:val="en-GB"/>
              </w:rPr>
            </w:pPr>
            <w:r>
              <w:rPr>
                <w:bCs/>
                <w:color w:val="003366"/>
                <w:sz w:val="22"/>
                <w:szCs w:val="22"/>
                <w:lang w:val="en-GB"/>
              </w:rPr>
              <w:t>Marketing and localization strategies of funds</w:t>
            </w:r>
          </w:p>
          <w:p w:rsidR="00BC1C30" w:rsidRPr="00BC1C30" w:rsidRDefault="00BC1C30" w:rsidP="00BC1C30">
            <w:pPr>
              <w:numPr>
                <w:ilvl w:val="0"/>
                <w:numId w:val="1"/>
              </w:numPr>
              <w:jc w:val="both"/>
              <w:rPr>
                <w:bCs/>
                <w:color w:val="003366"/>
                <w:lang w:val="en-GB"/>
              </w:rPr>
            </w:pPr>
            <w:r>
              <w:rPr>
                <w:bCs/>
                <w:color w:val="003366"/>
                <w:sz w:val="22"/>
                <w:szCs w:val="22"/>
                <w:lang w:val="en-GB"/>
              </w:rPr>
              <w:t>Fund Families and Risks</w:t>
            </w:r>
          </w:p>
          <w:p w:rsidR="00BC1C30" w:rsidRPr="007E4BAC" w:rsidRDefault="00BC1C30" w:rsidP="00BC1C30">
            <w:pPr>
              <w:numPr>
                <w:ilvl w:val="0"/>
                <w:numId w:val="1"/>
              </w:numPr>
              <w:jc w:val="both"/>
              <w:rPr>
                <w:bCs/>
                <w:color w:val="003366"/>
                <w:lang w:val="en-GB"/>
              </w:rPr>
            </w:pPr>
            <w:r>
              <w:rPr>
                <w:bCs/>
                <w:color w:val="003366"/>
                <w:sz w:val="22"/>
                <w:szCs w:val="22"/>
                <w:lang w:val="en-GB"/>
              </w:rPr>
              <w:t xml:space="preserve">The relationship between size of the Management Company and performance </w:t>
            </w:r>
          </w:p>
        </w:tc>
        <w:tc>
          <w:tcPr>
            <w:tcW w:w="2238" w:type="dxa"/>
          </w:tcPr>
          <w:p w:rsidR="00C11186" w:rsidRPr="007E4BAC" w:rsidRDefault="00C11186" w:rsidP="00964220">
            <w:pPr>
              <w:jc w:val="both"/>
              <w:rPr>
                <w:bCs/>
                <w:color w:val="003366"/>
                <w:lang w:val="en-GB"/>
              </w:rPr>
            </w:pPr>
          </w:p>
          <w:p w:rsidR="00C11186" w:rsidRPr="007E4BAC" w:rsidRDefault="00CC4884" w:rsidP="00964220">
            <w:pPr>
              <w:jc w:val="both"/>
              <w:rPr>
                <w:bCs/>
                <w:color w:val="003366"/>
                <w:lang w:val="en-GB"/>
              </w:rPr>
            </w:pPr>
            <w:r>
              <w:rPr>
                <w:bCs/>
                <w:color w:val="003366"/>
                <w:sz w:val="22"/>
                <w:szCs w:val="22"/>
                <w:lang w:val="en-GB"/>
              </w:rPr>
              <w:t>1</w:t>
            </w:r>
            <w:r w:rsidR="00C11186" w:rsidRPr="007E4BAC">
              <w:rPr>
                <w:bCs/>
                <w:color w:val="003366"/>
                <w:sz w:val="22"/>
                <w:szCs w:val="22"/>
                <w:lang w:val="en-GB"/>
              </w:rPr>
              <w:t>6</w:t>
            </w:r>
            <w:r w:rsidR="00BB753D">
              <w:rPr>
                <w:bCs/>
                <w:color w:val="003366"/>
                <w:sz w:val="22"/>
                <w:szCs w:val="22"/>
                <w:lang w:val="en-GB"/>
              </w:rPr>
              <w:t xml:space="preserve"> hours</w:t>
            </w:r>
          </w:p>
        </w:tc>
      </w:tr>
      <w:tr w:rsidR="00C11186" w:rsidRPr="00322731" w:rsidTr="00964220">
        <w:tc>
          <w:tcPr>
            <w:tcW w:w="7338" w:type="dxa"/>
            <w:tcBorders>
              <w:left w:val="nil"/>
              <w:right w:val="nil"/>
            </w:tcBorders>
            <w:shd w:val="clear" w:color="auto" w:fill="D3DFEE"/>
          </w:tcPr>
          <w:p w:rsidR="00C11186" w:rsidRPr="007E4BAC" w:rsidRDefault="00C11186" w:rsidP="00964220">
            <w:pPr>
              <w:jc w:val="both"/>
              <w:rPr>
                <w:bCs/>
                <w:color w:val="003366"/>
                <w:lang w:val="en-GB"/>
              </w:rPr>
            </w:pPr>
          </w:p>
          <w:p w:rsidR="00C11186" w:rsidRPr="007E4BAC" w:rsidRDefault="00C11186" w:rsidP="00964220">
            <w:pPr>
              <w:jc w:val="both"/>
              <w:rPr>
                <w:bCs/>
                <w:color w:val="003366"/>
                <w:lang w:val="en-GB"/>
              </w:rPr>
            </w:pPr>
            <w:r w:rsidRPr="007E4BAC">
              <w:rPr>
                <w:bCs/>
                <w:color w:val="003366"/>
                <w:sz w:val="22"/>
                <w:szCs w:val="22"/>
                <w:lang w:val="en-GB"/>
              </w:rPr>
              <w:t xml:space="preserve">The Alternative Investment Fund Universe </w:t>
            </w:r>
          </w:p>
          <w:p w:rsidR="00C11186" w:rsidRPr="00C450EB" w:rsidRDefault="00C11186" w:rsidP="00405B61">
            <w:pPr>
              <w:numPr>
                <w:ilvl w:val="0"/>
                <w:numId w:val="1"/>
              </w:numPr>
              <w:jc w:val="both"/>
              <w:rPr>
                <w:bCs/>
                <w:color w:val="003366"/>
                <w:lang w:val="en-GB"/>
              </w:rPr>
            </w:pPr>
            <w:r w:rsidRPr="007E4BAC">
              <w:rPr>
                <w:bCs/>
                <w:color w:val="003366"/>
                <w:sz w:val="22"/>
                <w:szCs w:val="22"/>
                <w:lang w:val="en-GB"/>
              </w:rPr>
              <w:t xml:space="preserve">Definition of the Alternative Investment Universe </w:t>
            </w:r>
          </w:p>
          <w:p w:rsidR="00C450EB" w:rsidRPr="00C450EB" w:rsidRDefault="00C450EB" w:rsidP="00405B61">
            <w:pPr>
              <w:numPr>
                <w:ilvl w:val="0"/>
                <w:numId w:val="1"/>
              </w:numPr>
              <w:jc w:val="both"/>
              <w:rPr>
                <w:bCs/>
                <w:color w:val="003366"/>
                <w:lang w:val="en-GB"/>
              </w:rPr>
            </w:pPr>
            <w:r>
              <w:rPr>
                <w:bCs/>
                <w:color w:val="003366"/>
                <w:sz w:val="22"/>
                <w:szCs w:val="22"/>
                <w:lang w:val="en-GB"/>
              </w:rPr>
              <w:t>Hedge Funds and Business Models</w:t>
            </w:r>
          </w:p>
          <w:p w:rsidR="00C450EB" w:rsidRPr="00C450EB" w:rsidRDefault="00C450EB" w:rsidP="00405B61">
            <w:pPr>
              <w:numPr>
                <w:ilvl w:val="0"/>
                <w:numId w:val="1"/>
              </w:numPr>
              <w:jc w:val="both"/>
              <w:rPr>
                <w:bCs/>
                <w:color w:val="003366"/>
                <w:lang w:val="en-GB"/>
              </w:rPr>
            </w:pPr>
            <w:r>
              <w:rPr>
                <w:bCs/>
                <w:color w:val="003366"/>
                <w:sz w:val="22"/>
                <w:szCs w:val="22"/>
                <w:lang w:val="en-GB"/>
              </w:rPr>
              <w:t>Private Equity Funds and Business Models</w:t>
            </w:r>
          </w:p>
          <w:p w:rsidR="00C450EB" w:rsidRPr="00C450EB" w:rsidRDefault="00C450EB" w:rsidP="00405B61">
            <w:pPr>
              <w:numPr>
                <w:ilvl w:val="0"/>
                <w:numId w:val="1"/>
              </w:numPr>
              <w:jc w:val="both"/>
              <w:rPr>
                <w:bCs/>
                <w:color w:val="003366"/>
                <w:lang w:val="en-GB"/>
              </w:rPr>
            </w:pPr>
            <w:r>
              <w:rPr>
                <w:bCs/>
                <w:color w:val="003366"/>
                <w:sz w:val="22"/>
                <w:szCs w:val="22"/>
                <w:lang w:val="en-GB"/>
              </w:rPr>
              <w:t>Commodity Funds and Business Models</w:t>
            </w:r>
          </w:p>
          <w:p w:rsidR="00C450EB" w:rsidRPr="007E4BAC" w:rsidRDefault="00C450EB" w:rsidP="00405B61">
            <w:pPr>
              <w:numPr>
                <w:ilvl w:val="0"/>
                <w:numId w:val="1"/>
              </w:numPr>
              <w:jc w:val="both"/>
              <w:rPr>
                <w:bCs/>
                <w:color w:val="003366"/>
                <w:lang w:val="en-GB"/>
              </w:rPr>
            </w:pPr>
            <w:r>
              <w:rPr>
                <w:bCs/>
                <w:color w:val="003366"/>
                <w:sz w:val="22"/>
                <w:szCs w:val="22"/>
                <w:lang w:val="en-GB"/>
              </w:rPr>
              <w:t>Real estate and Business Models</w:t>
            </w:r>
          </w:p>
          <w:p w:rsidR="00C11186" w:rsidRPr="007E4BAC" w:rsidRDefault="00C11186" w:rsidP="00405B61">
            <w:pPr>
              <w:numPr>
                <w:ilvl w:val="0"/>
                <w:numId w:val="1"/>
              </w:numPr>
              <w:jc w:val="both"/>
              <w:rPr>
                <w:bCs/>
                <w:color w:val="003366"/>
                <w:lang w:val="en-GB"/>
              </w:rPr>
            </w:pPr>
            <w:r w:rsidRPr="007E4BAC">
              <w:rPr>
                <w:bCs/>
                <w:color w:val="003366"/>
                <w:sz w:val="22"/>
                <w:szCs w:val="22"/>
                <w:lang w:val="en-GB"/>
              </w:rPr>
              <w:t>Distinguishing features of Hedge Funds</w:t>
            </w:r>
          </w:p>
          <w:p w:rsidR="00C11186" w:rsidRPr="007E4BAC" w:rsidRDefault="00C11186" w:rsidP="00405B61">
            <w:pPr>
              <w:numPr>
                <w:ilvl w:val="0"/>
                <w:numId w:val="1"/>
              </w:numPr>
              <w:jc w:val="both"/>
              <w:rPr>
                <w:bCs/>
                <w:color w:val="003366"/>
                <w:lang w:val="en-GB"/>
              </w:rPr>
            </w:pPr>
            <w:r w:rsidRPr="007E4BAC">
              <w:rPr>
                <w:bCs/>
                <w:color w:val="003366"/>
                <w:sz w:val="22"/>
                <w:szCs w:val="22"/>
                <w:lang w:val="en-GB"/>
              </w:rPr>
              <w:t xml:space="preserve">Regulatory Developments: The AIFMD Directive </w:t>
            </w:r>
          </w:p>
          <w:p w:rsidR="00C11186" w:rsidRPr="007E4BAC" w:rsidRDefault="00C11186" w:rsidP="00405B61">
            <w:pPr>
              <w:numPr>
                <w:ilvl w:val="0"/>
                <w:numId w:val="1"/>
              </w:numPr>
              <w:jc w:val="both"/>
              <w:rPr>
                <w:bCs/>
                <w:color w:val="003366"/>
                <w:lang w:val="en-GB"/>
              </w:rPr>
            </w:pPr>
            <w:r w:rsidRPr="007E4BAC">
              <w:rPr>
                <w:bCs/>
                <w:color w:val="003366"/>
                <w:sz w:val="22"/>
                <w:szCs w:val="22"/>
                <w:lang w:val="en-GB"/>
              </w:rPr>
              <w:t>Operational and organizational issues</w:t>
            </w:r>
            <w:r w:rsidR="00C450EB">
              <w:rPr>
                <w:bCs/>
                <w:color w:val="003366"/>
                <w:sz w:val="22"/>
                <w:szCs w:val="22"/>
                <w:lang w:val="en-GB"/>
              </w:rPr>
              <w:t xml:space="preserve"> AIFs </w:t>
            </w:r>
          </w:p>
          <w:p w:rsidR="00C11186" w:rsidRPr="007E4BAC" w:rsidRDefault="00C11186" w:rsidP="00405B61">
            <w:pPr>
              <w:numPr>
                <w:ilvl w:val="0"/>
                <w:numId w:val="1"/>
              </w:numPr>
              <w:jc w:val="both"/>
              <w:rPr>
                <w:bCs/>
                <w:color w:val="003366"/>
                <w:lang w:val="en-GB"/>
              </w:rPr>
            </w:pPr>
            <w:r w:rsidRPr="007E4BAC">
              <w:rPr>
                <w:bCs/>
                <w:color w:val="003366"/>
                <w:sz w:val="22"/>
                <w:szCs w:val="22"/>
                <w:lang w:val="en-GB"/>
              </w:rPr>
              <w:t>Investment procedures</w:t>
            </w:r>
          </w:p>
          <w:p w:rsidR="00C11186" w:rsidRPr="00C450EB" w:rsidRDefault="00C11186" w:rsidP="00405B61">
            <w:pPr>
              <w:numPr>
                <w:ilvl w:val="0"/>
                <w:numId w:val="1"/>
              </w:numPr>
              <w:jc w:val="both"/>
              <w:rPr>
                <w:bCs/>
                <w:color w:val="003366"/>
                <w:lang w:val="en-GB"/>
              </w:rPr>
            </w:pPr>
            <w:r w:rsidRPr="007E4BAC">
              <w:rPr>
                <w:bCs/>
                <w:color w:val="003366"/>
                <w:sz w:val="22"/>
                <w:szCs w:val="22"/>
                <w:lang w:val="en-GB"/>
              </w:rPr>
              <w:t>Analysis of different Hedge Fund Strategies</w:t>
            </w:r>
          </w:p>
          <w:p w:rsidR="00C450EB" w:rsidRPr="00C450EB" w:rsidRDefault="00C450EB" w:rsidP="00C450EB">
            <w:pPr>
              <w:numPr>
                <w:ilvl w:val="0"/>
                <w:numId w:val="1"/>
              </w:numPr>
              <w:jc w:val="both"/>
              <w:rPr>
                <w:bCs/>
                <w:color w:val="003366"/>
                <w:lang w:val="en-GB"/>
              </w:rPr>
            </w:pPr>
            <w:r>
              <w:rPr>
                <w:bCs/>
                <w:color w:val="003366"/>
                <w:sz w:val="22"/>
                <w:szCs w:val="22"/>
                <w:lang w:val="en-GB"/>
              </w:rPr>
              <w:t>Managerial Incentives and Performance</w:t>
            </w:r>
          </w:p>
          <w:p w:rsidR="00C450EB" w:rsidRPr="00C450EB" w:rsidRDefault="00C450EB" w:rsidP="00C450EB">
            <w:pPr>
              <w:numPr>
                <w:ilvl w:val="0"/>
                <w:numId w:val="1"/>
              </w:numPr>
              <w:jc w:val="both"/>
              <w:rPr>
                <w:bCs/>
                <w:color w:val="003366"/>
                <w:lang w:val="en-GB"/>
              </w:rPr>
            </w:pPr>
            <w:r>
              <w:rPr>
                <w:bCs/>
                <w:color w:val="003366"/>
                <w:sz w:val="22"/>
                <w:szCs w:val="22"/>
                <w:lang w:val="en-GB"/>
              </w:rPr>
              <w:t>Specific risks due to compensation model</w:t>
            </w:r>
          </w:p>
          <w:p w:rsidR="00C450EB" w:rsidRPr="00C450EB" w:rsidRDefault="00C450EB" w:rsidP="00C450EB">
            <w:pPr>
              <w:numPr>
                <w:ilvl w:val="0"/>
                <w:numId w:val="1"/>
              </w:numPr>
              <w:jc w:val="both"/>
              <w:rPr>
                <w:bCs/>
                <w:color w:val="003366"/>
                <w:lang w:val="en-GB"/>
              </w:rPr>
            </w:pPr>
            <w:r>
              <w:rPr>
                <w:bCs/>
                <w:color w:val="003366"/>
                <w:sz w:val="22"/>
                <w:szCs w:val="22"/>
                <w:lang w:val="en-GB"/>
              </w:rPr>
              <w:t>Treatment of High-watermark provisions</w:t>
            </w:r>
          </w:p>
          <w:p w:rsidR="00C450EB" w:rsidRPr="00C450EB" w:rsidRDefault="00C450EB" w:rsidP="00C450EB">
            <w:pPr>
              <w:numPr>
                <w:ilvl w:val="0"/>
                <w:numId w:val="1"/>
              </w:numPr>
              <w:jc w:val="both"/>
              <w:rPr>
                <w:bCs/>
                <w:color w:val="003366"/>
                <w:lang w:val="en-GB"/>
              </w:rPr>
            </w:pPr>
            <w:r>
              <w:rPr>
                <w:bCs/>
                <w:color w:val="003366"/>
                <w:sz w:val="22"/>
                <w:szCs w:val="22"/>
                <w:lang w:val="en-GB"/>
              </w:rPr>
              <w:t>Performance measurement for AIFs</w:t>
            </w:r>
          </w:p>
          <w:p w:rsidR="00C450EB" w:rsidRPr="00C450EB" w:rsidRDefault="00C450EB" w:rsidP="00C450EB">
            <w:pPr>
              <w:numPr>
                <w:ilvl w:val="0"/>
                <w:numId w:val="1"/>
              </w:numPr>
              <w:jc w:val="both"/>
              <w:rPr>
                <w:bCs/>
                <w:color w:val="003366"/>
                <w:lang w:val="en-GB"/>
              </w:rPr>
            </w:pPr>
            <w:r>
              <w:rPr>
                <w:bCs/>
                <w:color w:val="003366"/>
                <w:sz w:val="22"/>
                <w:szCs w:val="22"/>
                <w:lang w:val="en-GB"/>
              </w:rPr>
              <w:t>Manipulation of Performance and impact on NAVs</w:t>
            </w:r>
          </w:p>
          <w:p w:rsidR="00C450EB" w:rsidRPr="007E4BAC" w:rsidRDefault="00C450EB" w:rsidP="00C450EB">
            <w:pPr>
              <w:numPr>
                <w:ilvl w:val="0"/>
                <w:numId w:val="1"/>
              </w:numPr>
              <w:jc w:val="both"/>
              <w:rPr>
                <w:bCs/>
                <w:color w:val="003366"/>
                <w:lang w:val="en-GB"/>
              </w:rPr>
            </w:pPr>
            <w:r>
              <w:rPr>
                <w:bCs/>
                <w:color w:val="003366"/>
                <w:sz w:val="22"/>
                <w:szCs w:val="22"/>
                <w:lang w:val="en-GB"/>
              </w:rPr>
              <w:t xml:space="preserve">Evolution of Marketing and localization procedures  </w:t>
            </w:r>
          </w:p>
        </w:tc>
        <w:tc>
          <w:tcPr>
            <w:tcW w:w="2238" w:type="dxa"/>
            <w:tcBorders>
              <w:left w:val="nil"/>
              <w:right w:val="nil"/>
            </w:tcBorders>
            <w:shd w:val="clear" w:color="auto" w:fill="D3DFEE"/>
          </w:tcPr>
          <w:p w:rsidR="00C11186" w:rsidRPr="007E4BAC" w:rsidRDefault="00C11186" w:rsidP="00964220">
            <w:pPr>
              <w:jc w:val="both"/>
              <w:rPr>
                <w:bCs/>
                <w:color w:val="003366"/>
                <w:lang w:val="en-GB"/>
              </w:rPr>
            </w:pPr>
          </w:p>
          <w:p w:rsidR="00C11186" w:rsidRPr="007E4BAC" w:rsidRDefault="00CC4884" w:rsidP="00964220">
            <w:pPr>
              <w:jc w:val="both"/>
              <w:rPr>
                <w:bCs/>
                <w:color w:val="003366"/>
                <w:lang w:val="en-GB"/>
              </w:rPr>
            </w:pPr>
            <w:r>
              <w:rPr>
                <w:bCs/>
                <w:color w:val="003366"/>
                <w:sz w:val="22"/>
                <w:szCs w:val="22"/>
                <w:lang w:val="en-GB"/>
              </w:rPr>
              <w:t>1</w:t>
            </w:r>
            <w:r w:rsidR="00C11186" w:rsidRPr="007E4BAC">
              <w:rPr>
                <w:bCs/>
                <w:color w:val="003366"/>
                <w:sz w:val="22"/>
                <w:szCs w:val="22"/>
                <w:lang w:val="en-GB"/>
              </w:rPr>
              <w:t>6</w:t>
            </w:r>
            <w:r w:rsidR="00BB753D">
              <w:rPr>
                <w:bCs/>
                <w:color w:val="003366"/>
                <w:sz w:val="22"/>
                <w:szCs w:val="22"/>
                <w:lang w:val="en-GB"/>
              </w:rPr>
              <w:t xml:space="preserve"> hours</w:t>
            </w:r>
          </w:p>
        </w:tc>
      </w:tr>
      <w:tr w:rsidR="00C11186" w:rsidRPr="007E4BAC" w:rsidTr="00964220">
        <w:tc>
          <w:tcPr>
            <w:tcW w:w="7338" w:type="dxa"/>
            <w:tcBorders>
              <w:bottom w:val="single" w:sz="8" w:space="0" w:color="4F81BD"/>
            </w:tcBorders>
          </w:tcPr>
          <w:p w:rsidR="00C11186" w:rsidRPr="007E4BAC" w:rsidRDefault="00C11186" w:rsidP="00964220">
            <w:pPr>
              <w:jc w:val="both"/>
              <w:rPr>
                <w:b/>
                <w:bCs/>
                <w:color w:val="003366"/>
                <w:lang w:val="en-GB"/>
              </w:rPr>
            </w:pPr>
          </w:p>
          <w:p w:rsidR="00C11186" w:rsidRPr="007E4BAC" w:rsidRDefault="00C11186" w:rsidP="00964220">
            <w:pPr>
              <w:jc w:val="both"/>
              <w:rPr>
                <w:b/>
                <w:bCs/>
                <w:color w:val="003366"/>
                <w:lang w:val="en-GB"/>
              </w:rPr>
            </w:pPr>
            <w:r w:rsidRPr="007E4BAC">
              <w:rPr>
                <w:b/>
                <w:bCs/>
                <w:color w:val="003366"/>
                <w:sz w:val="22"/>
                <w:szCs w:val="22"/>
                <w:lang w:val="en-GB"/>
              </w:rPr>
              <w:t>Total</w:t>
            </w:r>
          </w:p>
        </w:tc>
        <w:tc>
          <w:tcPr>
            <w:tcW w:w="2238" w:type="dxa"/>
            <w:tcBorders>
              <w:bottom w:val="single" w:sz="8" w:space="0" w:color="4F81BD"/>
            </w:tcBorders>
          </w:tcPr>
          <w:p w:rsidR="00C11186" w:rsidRPr="007E4BAC" w:rsidRDefault="00C11186" w:rsidP="00964220">
            <w:pPr>
              <w:jc w:val="both"/>
              <w:rPr>
                <w:b/>
                <w:bCs/>
                <w:color w:val="003366"/>
                <w:lang w:val="en-GB"/>
              </w:rPr>
            </w:pPr>
          </w:p>
          <w:p w:rsidR="00C11186" w:rsidRPr="007E4BAC" w:rsidRDefault="00CC4884" w:rsidP="00964220">
            <w:pPr>
              <w:jc w:val="both"/>
              <w:rPr>
                <w:b/>
                <w:bCs/>
                <w:color w:val="003366"/>
                <w:lang w:val="en-GB"/>
              </w:rPr>
            </w:pPr>
            <w:r>
              <w:rPr>
                <w:b/>
                <w:bCs/>
                <w:color w:val="003366"/>
                <w:sz w:val="22"/>
                <w:szCs w:val="22"/>
                <w:lang w:val="en-GB"/>
              </w:rPr>
              <w:t>72</w:t>
            </w:r>
          </w:p>
        </w:tc>
      </w:tr>
    </w:tbl>
    <w:p w:rsidR="00C11186" w:rsidRDefault="00C11186" w:rsidP="00405B61">
      <w:pPr>
        <w:jc w:val="both"/>
        <w:rPr>
          <w:bCs/>
          <w:color w:val="003366"/>
          <w:sz w:val="22"/>
          <w:szCs w:val="22"/>
          <w:lang w:val="en-GB"/>
        </w:rPr>
      </w:pPr>
    </w:p>
    <w:p w:rsidR="00C11186" w:rsidRDefault="00C11186" w:rsidP="00405B61">
      <w:bookmarkStart w:id="0" w:name="_GoBack"/>
      <w:bookmarkEnd w:id="0"/>
    </w:p>
    <w:sectPr w:rsidR="00C11186" w:rsidSect="00C825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2138F"/>
    <w:multiLevelType w:val="hybridMultilevel"/>
    <w:tmpl w:val="1B2CAED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2504B9"/>
    <w:multiLevelType w:val="hybridMultilevel"/>
    <w:tmpl w:val="FDD09AA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B61"/>
    <w:rsid w:val="00143EF6"/>
    <w:rsid w:val="00223D26"/>
    <w:rsid w:val="00322731"/>
    <w:rsid w:val="00405B61"/>
    <w:rsid w:val="00617C5D"/>
    <w:rsid w:val="006968FD"/>
    <w:rsid w:val="006A0E54"/>
    <w:rsid w:val="006E6A1A"/>
    <w:rsid w:val="00756814"/>
    <w:rsid w:val="00787C11"/>
    <w:rsid w:val="007E4BAC"/>
    <w:rsid w:val="008B687A"/>
    <w:rsid w:val="00964220"/>
    <w:rsid w:val="00971F17"/>
    <w:rsid w:val="00985DF0"/>
    <w:rsid w:val="00AE4645"/>
    <w:rsid w:val="00BB753D"/>
    <w:rsid w:val="00BC1C30"/>
    <w:rsid w:val="00C11186"/>
    <w:rsid w:val="00C450EB"/>
    <w:rsid w:val="00C746FA"/>
    <w:rsid w:val="00C8257B"/>
    <w:rsid w:val="00CC4884"/>
    <w:rsid w:val="00D24AA8"/>
    <w:rsid w:val="00D3735D"/>
    <w:rsid w:val="00D96BDB"/>
    <w:rsid w:val="00E236E5"/>
    <w:rsid w:val="00F573CB"/>
    <w:rsid w:val="00FB1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B61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10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B61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10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396</Words>
  <Characters>2262</Characters>
  <Application>Microsoft Office Word</Application>
  <DocSecurity>0</DocSecurity>
  <Lines>18</Lines>
  <Paragraphs>5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Products and Risks of the Asset Management Industry (5 day program)</vt:lpstr>
      <vt:lpstr>Products and Risks of the Asset Management Industry (5 day program)</vt:lpstr>
      <vt:lpstr>Products and Risks of the Asset Management Industry (5 day program)</vt:lpstr>
    </vt:vector>
  </TitlesOfParts>
  <Company>SSERIGA</Company>
  <LinksUpToDate>false</LinksUpToDate>
  <CharactersWithSpaces>2653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Products and Risks of the Asset Management Industry (5 day program)</dc:title>
  <dc:creator>Michel Verlaine</dc:creator>
  <cp:lastModifiedBy>Студент НИУ ВШЭ</cp:lastModifiedBy>
  <cp:revision>5</cp:revision>
  <dcterms:created xsi:type="dcterms:W3CDTF">2016-06-29T14:01:00Z</dcterms:created>
  <dcterms:modified xsi:type="dcterms:W3CDTF">2016-10-13T09:13:00Z</dcterms:modified>
</cp:coreProperties>
</file>